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五四红旗团支部”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257"/>
        <w:gridCol w:w="1006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团支部全称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总数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年“推优”入党人数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广东“智慧团建”系统应用情况（各数据含本级及所有下级）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平均业务及时响应率（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支部“团员和青年主题教育”完成率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“青年大学习”总参学比（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支部团员在“i志愿”平台有服务时长的志愿者数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完成率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年对标定级结果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以上荣誉情况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  <w:t>开展的主要活动情况以及取得的效果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</w:tr>
    </w:tbl>
    <w:p>
      <w:pPr>
        <w:rPr>
          <w:color w:val="auto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3E20F4B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